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440</w:t>
      </w:r>
    </w:p>
    <w:p>
      <w:r>
        <w:t>Bundesgericht (BGE), 2001-05-10, DE</w:t>
      </w:r>
    </w:p>
    <w:p>
      <w:r>
        <w:rPr>
          <w:b/>
        </w:rPr>
        <w:t xml:space="preserve">Quelle: </w:t>
      </w:r>
      <w:r>
        <w:t>https://mcp.opencaselaw.ch/entscheid/bge_127 III 440</w:t>
      </w:r>
    </w:p>
    <w:p>
      <w:r>
        <w:t>FR: ATF 127 III 440</w:t>
      </w:r>
    </w:p>
    <w:p>
      <w:r>
        <w:t>IT: DTF 127 III 440</w:t>
      </w:r>
    </w:p>
    <w:p>
      <w:pPr>
        <w:pStyle w:val="Heading2"/>
      </w:pPr>
      <w:r>
        <w:t>Regeste</w:t>
      </w:r>
    </w:p>
    <w:p>
      <w:r>
        <w:t>Regeste Untergang von Dienstbarkeiten (Art. 734-736 ZGB). Der Untergang einer Dienstbarkeit ist, abgesehen von den gesetzlichen Gründen, auch durch Verzicht möglich (E. 2a). Auf ein Wegrecht kann implizit verzichtet werden, wenn dessen Ausübung mit einem späteren, durch Dienstbarkeitsvertrag eingeräumten Recht auf Näherbau unvereinbar ist (E. 2b). Erforderliche Aufmerksamkeit zum Schutz des guten Glaubens in eine im Grundbuch eingetragene Dienstbarkeit (Art. 973 Abs. 1 i.V.m. Art. 3 Abs. 2 ZGB) (E. 2c).</w:t>
      </w:r>
    </w:p>
    <w:p>
      <w:pPr>
        <w:pStyle w:val="Heading2"/>
      </w:pPr>
      <w:r>
        <w:t>Erwägungen</w:t>
      </w:r>
    </w:p>
    <w:p>
      <w:r>
        <w:rPr>
          <w:b/>
        </w:rPr>
        <w:t>E. 1</w:t>
      </w:r>
    </w:p>
    <w:p>
      <w:r>
        <w:t>a) Das Obergericht hat im Wesentlichen festgehalten, dass einerseits der das Grenzbaurecht einräumende Dienstbarkeitsvertrag von 1990 und die nachfolgende Realisierung des Grenzbaurechts durch den Eigentümer des Grundstückes Nr. 162, der sich die damalige Eigentümerin des Grundstückes Nr. 164 nicht widersetzt habe, einen beidseitigen stillschweigenden Verzicht auf die Dienstbarkeiten BGE 127 III 440 S. 442 von 1938 (Fuss- und Fahrwegrecht, Näherbaurecht) bzw. deren materiellen Untergang beinhalte. Anderseits habe der Kläger bezüglich des Weiterbestehens dieser Dienstbarkeiten trotz des nach wie vor bestehenden Grundbucheintrages nicht gutgläubig sein dürfen. b) Der Kläger verneint einen Verzicht auf die Dienstbarkeiten von 1938. Zur Begründung bringt er im Wesentlichen vor, ein solcher Verzicht sei nie bewiesen worden; vielmehr spreche der Brief vom 18. März 1992 der damaligen Eigentümerin des Grundstückes Nr. 164 (H. AG) gegen einen Verzicht. Zudem sei eine Baueinsprache gegenüber dem Bauprojekt auf Grundstück Nr. 162 deswegen nicht erfolgt, weil die damalige Eigentümerin des Grundstücks Nr. 164 in Konkursliquidation gestanden habe. Hinsichtlich seines guten Glaubens beruft sich der Kläger auf den Grundbucheintrag und die gesetzliche Vermutung des guten Glaubens.</w:t>
      </w:r>
    </w:p>
    <w:p>
      <w:r>
        <w:rPr>
          <w:b/>
        </w:rPr>
        <w:t>E. 2</w:t>
      </w:r>
    </w:p>
    <w:p>
      <w:r>
        <w:t>a) Von den gesetzlichen Gründen für den Untergang von Dienstbarkeiten ( Art. 734-736 ZGB ) steht im konkreten Fall keiner in Frage. Es ist jedoch allgemein anerkannt, dass die Aufzählung dieser Gründe nicht abschliessend ist und insbesondere auch ein - ausdrücklicher oder stillschweigender - Verzicht auf eine Dienstbarkeit, unter Einschluss von entsprechend eindeutigem konkludentem Verhalten, zum Untergang führt (Urteil des Bundesgerichts vom 19. November 1997 i.S. Z. [5C.177/1997], E. 3a, publiziert in: ZBGR 80/1999 S. 125 f.; LIVER, Zürcher Kommentar, N. 197 ff. zu Art. 734 ZGB ; RIEMER, Die beschränkten dinglichen Rechte, 2. Aufl. 2000, § 11 Rz. 30). Darunter fällt beispielsweise auch die "Gestattung der Verbauung eines Wegrechts" (LIVER, a.a.O., N. 107 a.E. zu Art. 734 ZGB ), was a fortiori gelten muss, wenn dieses Gestatten in Gestalt eines förmlichen Dienstbarkeitsvertrages erfolgt. b) Ein Verzicht im dargelegten Sinn ist vorliegend klarerweise zu bejahen. Nach den Sachverhaltsfeststellungen der Vorinstanz wurde mit dem Dienstbarkeitsvertrag von 1990 den jeweiligen Eigentümern der Grundstücke Nrn. 164 und 162 das Recht eingeräumt, gegenseitig an die Grenze zu bauen; in der Folge wurde auf Grundstück Nr. 162 das Geschäftshaus "I." bis an die gemeinsame Grundstücksgrenze hin erstellt. Indem der damalige Eigentümer des Grundstückes Nr. 164 im Jahre 1990 dem damaligen Eigentümer des Grundstückes Nr. 162 gestattete, gestützt auf das Grenz- bzw. Näherbaurecht an die gemeinsame Grundstücksgrenze zu bauen, verzichtete er implizit - aber dennoch offensichtlich - auf sein BGE 127 III 440 S. 443 Fuss- und Fahrwegrecht von 1938 über das Grundstück Nr. 162, da dessen Ausübung mit der Dienstbarkeit von 1990 rechtlich und mit der Realisierung des Grenz- und Näherbaurechts auch faktisch absolut unvereinbar war. Auf das Verhalten des damaligen Eigentümers des Grundstücks Nr. 164 gegenüber der Ausübung (Realisierung) dieses Grenz- und Näherbaurechts kommt es unter diesen Umständen nicht einmal mehr entscheidend an. Der Kläger wendet sich mit seinem Hinweis auf das Schreiben vom 18. März 1992 - da die Beweiswürdigung im Berufungsverfahren nicht überprüfbar ist ( BGE 122 III 219 E. 3c S. 223) - ohnehin vergeblich gegen die verbindliche Feststellung des Obergerichts ( Art. 63 Abs. 2 OG ), der damalige Eigentümer des Grundstücks Nr. 164 habe sich der Ausübung (Realisierung) des Grenz- und Näherbaurechts auf Grundstück Nr. 162 nicht widersetzt. Im Übrigen kann der Kläger daraus, dass die Untätigkeit des damaligen Eigentümers des Grundstückes Nr. 164 konkursbedingt war, nichts zu seinen Gunsten ableiten, da er sich heute dessen Verhalten auf jeden Fall anrechnen lassen muss. c) Was den guten Glauben des Klägers in den Grundbucheintrag ( Art. 973 Abs. 1 ZGB ) betrifft, so ist darauf hinzuweisen, dass dieser Schutz nicht absolut ist; vielmehr darf sich auch im Zusammenhang mit dem Grundbuch derjenige nicht auf seinen guten Glauben berufen, welcher bei der Aufmerksamkeit, wie sie nach den Umständen von ihm verlangt werden darf, nicht gutgläubig sein konnte ( Art. 3 Abs. 2 ZGB ; betreffend das Grundbuch im Besonderen vgl. BGE 109 II 102 E. 2 S. 104; BGE 82 II 103 E. 5 S. 112; DESCHENAUX, Das Grundbuch, in: Schweizerisches Privatrecht, Bd. V/3 II, S. 788 u. 792 f.). Ein solcher Fall liegt hier vor: Aus dem blossen Vergleich der Dienstbarkeitseinträge von 1938 und 1990, jedenfalls in Verbindung mit den betreffenden, Bestandteile des Grundbuches ( Art. 942 Abs. 2 ZGB ) bildenden Dienstbarkeitsverträgen, sowie erst recht aufgrund der zwischen den Jahren 1990 und 1997 (Erwerb des Grundstückes Nr. 164 durch den Kläger) erfolgten Erstellung der Baute auf Grundstück Nr. 162 bis an die gemeinsame Grundstücksgrenze, musste sich für den Kläger ohne weiteres die implizite rechtliche Beseitigung des Fuss- und Fahrwegrechts von 1938 ergeben.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